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8F0450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03902205" w:rsidR="00060C29" w:rsidRPr="00D64E17" w:rsidRDefault="00C61C52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610DA440" w:rsidR="00060C29" w:rsidRPr="00D64E17" w:rsidRDefault="008F0450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F045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F0450" w:rsidRPr="00C7394E" w:rsidRDefault="008F0450" w:rsidP="008F0450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4B270B30" w:rsidR="008F0450" w:rsidRPr="006C1404" w:rsidRDefault="008F0450" w:rsidP="008F045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8577E8" w:rsidR="008F0450" w:rsidRPr="006C1404" w:rsidRDefault="008F0450" w:rsidP="008F045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3AEF588A" w:rsidR="008F0450" w:rsidRPr="006C1404" w:rsidRDefault="008F0450" w:rsidP="008F045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8F045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F0450" w:rsidRPr="00C7394E" w:rsidRDefault="008F0450" w:rsidP="008F0450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0EF2CBCD" w:rsidR="008F0450" w:rsidRDefault="008F0450" w:rsidP="008F0450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4F1CE331" w:rsidR="008F0450" w:rsidRDefault="008F0450" w:rsidP="008F0450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</w:t>
            </w:r>
            <w:r>
              <w:rPr>
                <w:lang w:val="es-MX"/>
              </w:rPr>
              <w:t>erente de</w:t>
            </w:r>
            <w:r w:rsidRPr="00CF085B">
              <w:rPr>
                <w:lang w:val="es-MX"/>
              </w:rPr>
              <w:t xml:space="preserve">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20EF2580" w:rsidR="008F0450" w:rsidRDefault="008F0450" w:rsidP="008F0450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8D1BFD">
      <w:pPr>
        <w:numPr>
          <w:ilvl w:val="0"/>
          <w:numId w:val="2"/>
        </w:numPr>
        <w:overflowPunct/>
        <w:autoSpaceDE/>
        <w:autoSpaceDN/>
        <w:adjustRightInd/>
        <w:spacing w:before="12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1860C781" w:rsidR="00BB7846" w:rsidRPr="00CA7845" w:rsidRDefault="0065426F" w:rsidP="008D1BFD">
      <w:pPr>
        <w:numPr>
          <w:ilvl w:val="1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>
        <w:rPr>
          <w:lang w:val="es-MX"/>
        </w:rPr>
        <w:t>Estandarizar la administración del programa institucional de inducción en la Organización.</w:t>
      </w:r>
    </w:p>
    <w:p w14:paraId="18AB005A" w14:textId="77777777" w:rsidR="001E29EA" w:rsidRDefault="00BB7846" w:rsidP="008D1BFD">
      <w:pPr>
        <w:numPr>
          <w:ilvl w:val="0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48E63F9F" w:rsidR="00E8237D" w:rsidRDefault="00A85305" w:rsidP="008D1BFD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lang w:val="es-MX"/>
        </w:rPr>
      </w:pPr>
      <w:r w:rsidRPr="00A85305">
        <w:rPr>
          <w:lang w:val="es-MX"/>
        </w:rPr>
        <w:t>El procedimiento deberá ser utilizado por los responsables de coordinar e impartir el programa de inducción en el Monedero Electrónico.</w:t>
      </w:r>
    </w:p>
    <w:p w14:paraId="185CC6E5" w14:textId="77777777" w:rsidR="00CA5913" w:rsidRPr="00CA5913" w:rsidRDefault="00CA5913" w:rsidP="008D1BFD">
      <w:pPr>
        <w:pStyle w:val="Prrafodelista"/>
        <w:spacing w:before="120" w:after="120"/>
        <w:ind w:left="1080"/>
        <w:contextualSpacing w:val="0"/>
        <w:rPr>
          <w:lang w:val="es-MX"/>
        </w:rPr>
      </w:pPr>
    </w:p>
    <w:p w14:paraId="20A15F51" w14:textId="388E36D7" w:rsidR="00BD7A76" w:rsidRPr="00BD7A76" w:rsidRDefault="00CA5913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sz w:val="22"/>
          <w:lang w:val="es-MX"/>
        </w:rPr>
        <w:t>Diagramas de flujo</w:t>
      </w:r>
    </w:p>
    <w:p w14:paraId="094807FB" w14:textId="651E34A9" w:rsidR="00F61F05" w:rsidRDefault="00F169C8" w:rsidP="00F169C8">
      <w:pPr>
        <w:overflowPunct/>
        <w:autoSpaceDE/>
        <w:autoSpaceDN/>
        <w:adjustRightInd/>
        <w:spacing w:before="100" w:beforeAutospacing="1" w:after="240"/>
        <w:ind w:left="1276" w:hanging="1276"/>
        <w:jc w:val="center"/>
        <w:textAlignment w:val="auto"/>
        <w:rPr>
          <w:b/>
          <w:noProof/>
          <w:sz w:val="22"/>
          <w:lang w:eastAsia="es-MX"/>
        </w:rPr>
      </w:pPr>
      <w:r>
        <w:rPr>
          <w:b/>
          <w:noProof/>
          <w:sz w:val="22"/>
          <w:lang w:val="es-MX" w:eastAsia="es-MX"/>
        </w:rPr>
        <w:drawing>
          <wp:inline distT="0" distB="0" distL="0" distR="0" wp14:anchorId="52D71727" wp14:editId="6FF47717">
            <wp:extent cx="3842224" cy="5729500"/>
            <wp:effectExtent l="0" t="0" r="635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ministración del proceso de inducción-Anexo 28 inducción 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236" cy="573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DCC7B" w14:textId="01A26200" w:rsidR="00CA5913" w:rsidRDefault="00CA5913" w:rsidP="00F169C8">
      <w:p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noProof/>
          <w:sz w:val="22"/>
          <w:lang w:eastAsia="es-MX"/>
        </w:rPr>
      </w:pPr>
    </w:p>
    <w:p w14:paraId="73059986" w14:textId="15311CA7" w:rsidR="00843AC0" w:rsidRDefault="00843AC0" w:rsidP="004717A7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="120" w:after="120"/>
        <w:ind w:left="641" w:hanging="357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Políticas</w:t>
      </w:r>
    </w:p>
    <w:p w14:paraId="7F1311A1" w14:textId="77777777" w:rsidR="0027762A" w:rsidRDefault="0027762A" w:rsidP="009346B0">
      <w:pPr>
        <w:pStyle w:val="Prrafodelista"/>
        <w:numPr>
          <w:ilvl w:val="1"/>
          <w:numId w:val="2"/>
        </w:numPr>
        <w:spacing w:before="120" w:after="120"/>
        <w:contextualSpacing w:val="0"/>
        <w:rPr>
          <w:rFonts w:cs="Arial"/>
          <w:lang w:val="es-MX"/>
        </w:rPr>
      </w:pPr>
      <w:r w:rsidRPr="0027762A">
        <w:rPr>
          <w:rFonts w:cs="Arial"/>
          <w:lang w:val="es-MX"/>
        </w:rPr>
        <w:t>Todo colaborador de nuevo ingreso en la Organización deberá recibir el programa de inducción y culminarlo antes de incorporarse a las funciones de su puesto.</w:t>
      </w:r>
    </w:p>
    <w:p w14:paraId="2786E61B" w14:textId="7B455501" w:rsidR="00F90EE8" w:rsidRPr="00F90EE8" w:rsidRDefault="00F90EE8" w:rsidP="009346B0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F90EE8">
        <w:rPr>
          <w:rFonts w:cs="Arial"/>
          <w:lang w:val="es-MX"/>
        </w:rPr>
        <w:t>Cuando las necesidades del puesto del colaborador de nuevo ingreso requieran iniciar sus actividades antes de tomar el curso de inducción se deberá solicitar la autorización a la Gerencia de</w:t>
      </w:r>
      <w:r w:rsidR="008F0450">
        <w:rPr>
          <w:rFonts w:cs="Arial"/>
          <w:lang w:val="es-MX"/>
        </w:rPr>
        <w:t>l Monedero</w:t>
      </w:r>
      <w:r w:rsidRPr="00F90EE8">
        <w:rPr>
          <w:rFonts w:cs="Arial"/>
          <w:lang w:val="es-MX"/>
        </w:rPr>
        <w:t>.</w:t>
      </w:r>
    </w:p>
    <w:p w14:paraId="7D365AFE" w14:textId="77777777" w:rsidR="00F90EE8" w:rsidRPr="00F90EE8" w:rsidRDefault="00F90EE8" w:rsidP="009346B0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F90EE8">
        <w:rPr>
          <w:rFonts w:cs="Arial"/>
          <w:lang w:val="es-MX"/>
        </w:rPr>
        <w:t>Los colaboradores de reingreso con más de 6 meses de haber terminado su relación laboral en la empresa deberán llevar el curso de inducción como colaborador de nuevo ingreso.</w:t>
      </w:r>
    </w:p>
    <w:p w14:paraId="294DC387" w14:textId="77777777" w:rsidR="00F90EE8" w:rsidRPr="00F90EE8" w:rsidRDefault="00F90EE8" w:rsidP="009346B0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F90EE8">
        <w:rPr>
          <w:rFonts w:cs="Arial"/>
          <w:lang w:val="es-MX"/>
        </w:rPr>
        <w:t>Los colaboradores de reingreso con menos de 6 meses de haber terminado su relación laboral en la empresa no será necesario tomar o reforzar el curso de inducción al menos que exista una modificación en los procesos.</w:t>
      </w:r>
    </w:p>
    <w:p w14:paraId="219E2B13" w14:textId="39D93877" w:rsidR="00252953" w:rsidRPr="00252953" w:rsidRDefault="0054225A" w:rsidP="009346B0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54225A">
        <w:rPr>
          <w:rFonts w:cs="Arial"/>
          <w:lang w:val="es-MX"/>
        </w:rPr>
        <w:t>El proceso de inducción tendrá una duración de 1 día hábil y esta podrá tomarse de manera virtual o presencial según corresponda.</w:t>
      </w:r>
    </w:p>
    <w:p w14:paraId="322024F0" w14:textId="77777777" w:rsidR="007D6532" w:rsidRPr="007D6532" w:rsidRDefault="007D6532" w:rsidP="009346B0">
      <w:pPr>
        <w:pStyle w:val="Prrafodelista"/>
        <w:numPr>
          <w:ilvl w:val="3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7D6532">
        <w:rPr>
          <w:rFonts w:cs="Arial"/>
          <w:lang w:val="es-MX"/>
        </w:rPr>
        <w:t>Como parte de la inducción el personal de nuevo ingreso recibirá un recorrido por las distintas áreas de trabajo y espacios comunes (cuando aplique).</w:t>
      </w:r>
    </w:p>
    <w:p w14:paraId="373819F2" w14:textId="79A6DA23" w:rsidR="0027762A" w:rsidRDefault="007D6532" w:rsidP="00E07E65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374AB1">
        <w:rPr>
          <w:rFonts w:cs="Arial"/>
          <w:lang w:val="es-MX"/>
        </w:rPr>
        <w:t xml:space="preserve">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>
        <w:rPr>
          <w:rFonts w:cs="Arial"/>
          <w:lang w:val="es-MX"/>
        </w:rPr>
        <w:t xml:space="preserve"> </w:t>
      </w:r>
      <w:r w:rsidRPr="00374AB1">
        <w:rPr>
          <w:rFonts w:cs="Arial"/>
          <w:lang w:val="es-MX"/>
        </w:rPr>
        <w:t xml:space="preserve">deberá asegurarse que se le proporcione a cada colaborador administrativo de nuevo ingreso el formato </w:t>
      </w:r>
      <w:r w:rsidR="008F0450">
        <w:rPr>
          <w:rFonts w:cs="Arial"/>
          <w:b/>
          <w:bCs/>
          <w:lang w:val="es-MX"/>
        </w:rPr>
        <w:t>SF</w:t>
      </w:r>
      <w:r w:rsidR="00E07E65" w:rsidRPr="00E07E65">
        <w:rPr>
          <w:rFonts w:cs="Arial"/>
          <w:b/>
          <w:bCs/>
          <w:lang w:val="es-MX"/>
        </w:rPr>
        <w:t>-F-15</w:t>
      </w:r>
      <w:r w:rsidRPr="00374AB1">
        <w:rPr>
          <w:rFonts w:cs="Arial"/>
          <w:b/>
          <w:bCs/>
          <w:lang w:val="es-MX"/>
        </w:rPr>
        <w:t xml:space="preserve"> Programa de inducción a la Organización</w:t>
      </w:r>
      <w:r w:rsidRPr="00374AB1">
        <w:rPr>
          <w:rFonts w:cs="Arial"/>
          <w:lang w:val="es-MX"/>
        </w:rPr>
        <w:t xml:space="preserve"> para el seguimiento de la inducción correspondiente.</w:t>
      </w:r>
    </w:p>
    <w:p w14:paraId="7F3445D0" w14:textId="77777777" w:rsidR="00174A58" w:rsidRPr="00174A58" w:rsidRDefault="00174A58" w:rsidP="009346B0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174A58">
        <w:rPr>
          <w:rFonts w:cs="Arial"/>
          <w:lang w:val="es-MX"/>
        </w:rPr>
        <w:t xml:space="preserve">Se considerará que el personal de nuevo ingreso acredita el programa de inducción si obtiene una calificación promedio mínima de 8.5, para lograr esto en cada evaluación de conocimientos y/o habilidades (3 evaluaciones teóricas y 1 evaluación práctica), que se requieren durante el proceso, el trabajador deberá contar con un 90% de asistencia, actitud participativa y de servicio. </w:t>
      </w:r>
    </w:p>
    <w:p w14:paraId="13673FEA" w14:textId="77777777" w:rsidR="00174A58" w:rsidRPr="00174A58" w:rsidRDefault="00174A58" w:rsidP="009346B0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174A58">
        <w:rPr>
          <w:rFonts w:cs="Arial"/>
          <w:lang w:val="es-MX"/>
        </w:rPr>
        <w:t>Todo colaborador de la empresa deberá contar con un expediente electrónico de capacitación, el cual se deberá abrir cuando este sea contratado y haya realizado el programa de inducción.</w:t>
      </w:r>
    </w:p>
    <w:p w14:paraId="0D9447B8" w14:textId="5E4FDD3E" w:rsidR="00FD46C9" w:rsidRPr="00FD46C9" w:rsidRDefault="00FD46C9" w:rsidP="009346B0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FD46C9">
        <w:rPr>
          <w:rFonts w:cs="Arial"/>
          <w:lang w:val="es-MX"/>
        </w:rPr>
        <w:t xml:space="preserve">El expediente electrónico de capacitación de cada colaborador deberá ser resguardado por 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Pr="00FD46C9">
        <w:rPr>
          <w:rFonts w:cs="Arial"/>
          <w:lang w:val="es-MX"/>
        </w:rPr>
        <w:t>.</w:t>
      </w:r>
    </w:p>
    <w:p w14:paraId="7B5877A3" w14:textId="0B30991D" w:rsidR="00663904" w:rsidRPr="00663904" w:rsidRDefault="00663904" w:rsidP="009346B0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663904">
        <w:rPr>
          <w:rFonts w:cs="Arial"/>
          <w:lang w:val="es-MX"/>
        </w:rPr>
        <w:t xml:space="preserve">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663904">
        <w:rPr>
          <w:rFonts w:cs="Arial"/>
          <w:lang w:val="es-MX"/>
        </w:rPr>
        <w:t xml:space="preserve"> </w:t>
      </w:r>
      <w:r w:rsidRPr="00663904">
        <w:rPr>
          <w:rFonts w:cs="Arial"/>
          <w:lang w:val="es-MX"/>
        </w:rPr>
        <w:t>deberá revisar la pre-nómina del personal que se encuentre en el programa de inducción durante el periodo que duré la capacitación.</w:t>
      </w:r>
    </w:p>
    <w:p w14:paraId="0BF2B336" w14:textId="08BF2568" w:rsidR="00663904" w:rsidRPr="00663904" w:rsidRDefault="00663904" w:rsidP="009346B0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663904">
        <w:rPr>
          <w:rFonts w:cs="Arial"/>
          <w:lang w:val="es-MX"/>
        </w:rPr>
        <w:t xml:space="preserve">Es responsabilidad de 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663904">
        <w:rPr>
          <w:rFonts w:cs="Arial"/>
          <w:lang w:val="es-MX"/>
        </w:rPr>
        <w:t xml:space="preserve"> </w:t>
      </w:r>
      <w:r w:rsidRPr="00663904">
        <w:rPr>
          <w:rFonts w:cs="Arial"/>
          <w:lang w:val="es-MX"/>
        </w:rPr>
        <w:t>utilizar las técnicas de aprendizaje estipuladas en el Manual del participante electrónico de manera que ayude al desarrollo de las competencias requeridas en cada colaborador de nuevo ingreso.</w:t>
      </w:r>
    </w:p>
    <w:p w14:paraId="78D1CFFE" w14:textId="20EC9EFC" w:rsidR="00663904" w:rsidRDefault="00663904" w:rsidP="009346B0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663904">
        <w:rPr>
          <w:rFonts w:cs="Arial"/>
          <w:lang w:val="es-MX"/>
        </w:rPr>
        <w:t xml:space="preserve">Es responsabilidad de 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663904">
        <w:rPr>
          <w:rFonts w:cs="Arial"/>
          <w:lang w:val="es-MX"/>
        </w:rPr>
        <w:t xml:space="preserve"> </w:t>
      </w:r>
      <w:r w:rsidRPr="00663904">
        <w:rPr>
          <w:rFonts w:cs="Arial"/>
          <w:lang w:val="es-MX"/>
        </w:rPr>
        <w:t>observar y corregir de manera profesional el progreso de cada participante referente a las competencias y comportamientos que exprese ante el grupo, cuando estas no se encuentren alineadas a las políticas de la empresa.</w:t>
      </w:r>
    </w:p>
    <w:p w14:paraId="243401BF" w14:textId="77777777" w:rsidR="00BE0DC9" w:rsidRPr="00BE0DC9" w:rsidRDefault="00BE0DC9" w:rsidP="009346B0">
      <w:pPr>
        <w:pStyle w:val="Prrafodelista"/>
        <w:numPr>
          <w:ilvl w:val="0"/>
          <w:numId w:val="13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E0DC9">
        <w:rPr>
          <w:rFonts w:cs="Arial"/>
          <w:lang w:val="es-MX"/>
        </w:rPr>
        <w:t>Entre los comportamientos mencionados en el punto anterior, también se estarán considerando las conductas no apropiadas como lo son: el llegar en estados de ebriedad o evidencia de haber consumido sustancias nocivas.</w:t>
      </w:r>
    </w:p>
    <w:p w14:paraId="7A33D3FA" w14:textId="191D0B4E" w:rsidR="00BE0DC9" w:rsidRPr="00BE0DC9" w:rsidRDefault="00BE0DC9" w:rsidP="009346B0">
      <w:pPr>
        <w:pStyle w:val="Prrafodelista"/>
        <w:numPr>
          <w:ilvl w:val="0"/>
          <w:numId w:val="13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E0DC9">
        <w:rPr>
          <w:rFonts w:cs="Arial"/>
          <w:lang w:val="es-MX"/>
        </w:rPr>
        <w:t xml:space="preserve">En caso de encontrar evidencia de estado de ebriedad o sustancias nocivas se canalizará a la persona con 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BE0DC9">
        <w:rPr>
          <w:rFonts w:cs="Arial"/>
          <w:lang w:val="es-MX"/>
        </w:rPr>
        <w:t xml:space="preserve"> </w:t>
      </w:r>
      <w:r w:rsidRPr="00BE0DC9">
        <w:rPr>
          <w:rFonts w:cs="Arial"/>
          <w:lang w:val="es-MX"/>
        </w:rPr>
        <w:t>quien atenderá la situación de acuerdo con el reglamento interno.</w:t>
      </w:r>
    </w:p>
    <w:p w14:paraId="4CF64F38" w14:textId="77777777" w:rsidR="00BE0DC9" w:rsidRDefault="00BE0DC9" w:rsidP="009346B0">
      <w:pPr>
        <w:pStyle w:val="Prrafodelista"/>
        <w:spacing w:before="120" w:after="120"/>
        <w:ind w:left="1800"/>
        <w:contextualSpacing w:val="0"/>
        <w:jc w:val="both"/>
        <w:rPr>
          <w:rFonts w:cs="Arial"/>
          <w:lang w:val="es-MX"/>
        </w:rPr>
      </w:pPr>
    </w:p>
    <w:p w14:paraId="468ED218" w14:textId="77777777" w:rsidR="00C07B96" w:rsidRPr="00C07B96" w:rsidRDefault="00C07B96" w:rsidP="009346B0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C07B96">
        <w:rPr>
          <w:rFonts w:cs="Arial"/>
          <w:lang w:val="es-MX"/>
        </w:rPr>
        <w:t>Las evaluaciones de conocimientos deberán aplicarse y calificarse en los tiempos indicados en la capacitación.</w:t>
      </w:r>
    </w:p>
    <w:p w14:paraId="6C9F04D6" w14:textId="77777777" w:rsidR="00B2304D" w:rsidRPr="00B2304D" w:rsidRDefault="00B2304D" w:rsidP="009346B0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2304D">
        <w:rPr>
          <w:rFonts w:cs="Arial"/>
          <w:lang w:val="es-MX"/>
        </w:rPr>
        <w:t>Se deberá notificar a los participantes los resultados de las evaluaciones, así como realizar una retroalimentación grupal sobre los logros y áreas de mejora.</w:t>
      </w:r>
    </w:p>
    <w:p w14:paraId="6E44AF27" w14:textId="2D9DD696" w:rsidR="00BE0DC9" w:rsidRDefault="00B2304D" w:rsidP="009346B0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2304D">
        <w:rPr>
          <w:rFonts w:cs="Arial"/>
          <w:lang w:val="es-MX"/>
        </w:rPr>
        <w:lastRenderedPageBreak/>
        <w:t xml:space="preserve">Es responsabilidad de 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B2304D">
        <w:rPr>
          <w:rFonts w:cs="Arial"/>
          <w:lang w:val="es-MX"/>
        </w:rPr>
        <w:t xml:space="preserve"> </w:t>
      </w:r>
      <w:r w:rsidRPr="00B2304D">
        <w:rPr>
          <w:rFonts w:cs="Arial"/>
          <w:lang w:val="es-MX"/>
        </w:rPr>
        <w:t>programar una sesión especial de regularización con el participante que haya obtenido una calificación menor a 8.5 en alguna evaluación.</w:t>
      </w:r>
    </w:p>
    <w:p w14:paraId="627BCCC2" w14:textId="71EF28B1" w:rsidR="009601BB" w:rsidRPr="009601BB" w:rsidRDefault="009601BB" w:rsidP="009346B0">
      <w:pPr>
        <w:pStyle w:val="Prrafodelista"/>
        <w:numPr>
          <w:ilvl w:val="3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9601BB">
        <w:rPr>
          <w:rFonts w:cs="Arial"/>
          <w:lang w:val="es-MX"/>
        </w:rPr>
        <w:t xml:space="preserve">Una vez que se haya impartido la sesión especial de 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9601BB">
        <w:rPr>
          <w:rFonts w:cs="Arial"/>
          <w:lang w:val="es-MX"/>
        </w:rPr>
        <w:t xml:space="preserve"> </w:t>
      </w:r>
      <w:r w:rsidRPr="009601BB">
        <w:rPr>
          <w:rFonts w:cs="Arial"/>
          <w:lang w:val="es-MX"/>
        </w:rPr>
        <w:t>deberá aplicar al participante una evaluación extraordinaria, si esta es acreditada el colaborador podrá continuar con el programa de inducción</w:t>
      </w:r>
      <w:bookmarkStart w:id="0" w:name="_GoBack"/>
      <w:bookmarkEnd w:id="0"/>
      <w:r w:rsidRPr="009601BB">
        <w:rPr>
          <w:rFonts w:cs="Arial"/>
          <w:lang w:val="es-MX"/>
        </w:rPr>
        <w:t xml:space="preserve">, de lo contrario se deberá reportar la Administración </w:t>
      </w:r>
      <w:r w:rsidR="00375384">
        <w:rPr>
          <w:rFonts w:cs="Arial"/>
          <w:lang w:val="es-MX"/>
        </w:rPr>
        <w:t>del Monedero</w:t>
      </w:r>
      <w:r w:rsidRPr="009601BB">
        <w:rPr>
          <w:rFonts w:cs="Arial"/>
          <w:lang w:val="es-MX"/>
        </w:rPr>
        <w:t>.</w:t>
      </w:r>
    </w:p>
    <w:p w14:paraId="426B077E" w14:textId="77777777" w:rsidR="009601BB" w:rsidRPr="009601BB" w:rsidRDefault="009601BB" w:rsidP="009346B0">
      <w:pPr>
        <w:pStyle w:val="Prrafodelista"/>
        <w:numPr>
          <w:ilvl w:val="3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9601BB">
        <w:rPr>
          <w:rFonts w:cs="Arial"/>
          <w:lang w:val="es-MX"/>
        </w:rPr>
        <w:t>El participante sólo tendrá una oportunidad de realizar una evaluación extraordinaria durante el programa de inducción.</w:t>
      </w:r>
    </w:p>
    <w:p w14:paraId="1F0B3E86" w14:textId="6F79459C" w:rsidR="009601BB" w:rsidRPr="009601BB" w:rsidRDefault="009601BB" w:rsidP="009346B0">
      <w:pPr>
        <w:pStyle w:val="Prrafodelista"/>
        <w:numPr>
          <w:ilvl w:val="3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9601BB">
        <w:rPr>
          <w:rFonts w:cs="Arial"/>
          <w:lang w:val="es-MX"/>
        </w:rPr>
        <w:t xml:space="preserve">Es responsabilidad de 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9601BB">
        <w:rPr>
          <w:rFonts w:cs="Arial"/>
          <w:lang w:val="es-MX"/>
        </w:rPr>
        <w:t xml:space="preserve"> </w:t>
      </w:r>
      <w:r w:rsidRPr="009601BB">
        <w:rPr>
          <w:rFonts w:cs="Arial"/>
          <w:lang w:val="es-MX"/>
        </w:rPr>
        <w:t xml:space="preserve">reportar a la Gerencia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9601BB">
        <w:rPr>
          <w:rFonts w:cs="Arial"/>
          <w:lang w:val="es-MX"/>
        </w:rPr>
        <w:t xml:space="preserve"> </w:t>
      </w:r>
      <w:r w:rsidRPr="009601BB">
        <w:rPr>
          <w:rFonts w:cs="Arial"/>
          <w:lang w:val="es-MX"/>
        </w:rPr>
        <w:t>a los participantes que no hayan pasado alguna evaluación extraordinaria, mediante un correo electrónico.</w:t>
      </w:r>
    </w:p>
    <w:p w14:paraId="0D6A54AD" w14:textId="7531DCC3" w:rsidR="009601BB" w:rsidRPr="009601BB" w:rsidRDefault="009601BB" w:rsidP="009346B0">
      <w:pPr>
        <w:pStyle w:val="Prrafodelista"/>
        <w:numPr>
          <w:ilvl w:val="3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9601BB">
        <w:rPr>
          <w:rFonts w:cs="Arial"/>
          <w:lang w:val="es-MX"/>
        </w:rPr>
        <w:t xml:space="preserve">Es responsabilidad de la Gerencia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9601BB">
        <w:rPr>
          <w:rFonts w:cs="Arial"/>
          <w:lang w:val="es-MX"/>
        </w:rPr>
        <w:t xml:space="preserve"> </w:t>
      </w:r>
      <w:r w:rsidRPr="009601BB">
        <w:rPr>
          <w:rFonts w:cs="Arial"/>
          <w:lang w:val="es-MX"/>
        </w:rPr>
        <w:t xml:space="preserve">decidir la acción a tomar con respecto a las notificaciones de incidencias realizadas por 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9601BB">
        <w:rPr>
          <w:rFonts w:cs="Arial"/>
          <w:lang w:val="es-MX"/>
        </w:rPr>
        <w:t xml:space="preserve"> </w:t>
      </w:r>
      <w:r w:rsidRPr="009601BB">
        <w:rPr>
          <w:rFonts w:cs="Arial"/>
          <w:lang w:val="es-MX"/>
        </w:rPr>
        <w:t>en el programa de inducción.</w:t>
      </w:r>
    </w:p>
    <w:p w14:paraId="71FFB684" w14:textId="41589164" w:rsidR="005B63D7" w:rsidRPr="005B63D7" w:rsidRDefault="005B63D7" w:rsidP="009346B0">
      <w:pPr>
        <w:pStyle w:val="Prrafodelista"/>
        <w:numPr>
          <w:ilvl w:val="1"/>
          <w:numId w:val="2"/>
        </w:numPr>
        <w:spacing w:before="120" w:after="120"/>
        <w:contextualSpacing w:val="0"/>
        <w:rPr>
          <w:rFonts w:cs="Arial"/>
          <w:lang w:val="es-MX"/>
        </w:rPr>
      </w:pPr>
      <w:r w:rsidRPr="005B63D7">
        <w:rPr>
          <w:rFonts w:cs="Arial"/>
          <w:lang w:val="es-MX"/>
        </w:rPr>
        <w:t xml:space="preserve">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5B63D7">
        <w:rPr>
          <w:rFonts w:cs="Arial"/>
          <w:lang w:val="es-MX"/>
        </w:rPr>
        <w:t xml:space="preserve"> </w:t>
      </w:r>
      <w:r w:rsidRPr="005B63D7">
        <w:rPr>
          <w:rFonts w:cs="Arial"/>
          <w:lang w:val="es-MX"/>
        </w:rPr>
        <w:t xml:space="preserve">deberá notificar por medio de correo electrónico a la Gerencia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5B63D7">
        <w:rPr>
          <w:rFonts w:cs="Arial"/>
          <w:lang w:val="es-MX"/>
        </w:rPr>
        <w:t xml:space="preserve"> </w:t>
      </w:r>
      <w:r w:rsidRPr="005B63D7">
        <w:rPr>
          <w:rFonts w:cs="Arial"/>
          <w:lang w:val="es-MX"/>
        </w:rPr>
        <w:t>el cambio de centro de costos y la culminación del programa de inducción del participante.</w:t>
      </w:r>
    </w:p>
    <w:p w14:paraId="5AFFA6B7" w14:textId="32912122" w:rsidR="00843AC0" w:rsidRDefault="005B63D7" w:rsidP="009346B0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5B63D7">
        <w:rPr>
          <w:rFonts w:cs="Arial"/>
          <w:lang w:val="es-MX"/>
        </w:rPr>
        <w:t xml:space="preserve">Al finalizar el programa de inducción la Administración </w:t>
      </w:r>
      <w:r w:rsidR="008F0450" w:rsidRPr="00F90EE8">
        <w:rPr>
          <w:rFonts w:cs="Arial"/>
          <w:lang w:val="es-MX"/>
        </w:rPr>
        <w:t>de</w:t>
      </w:r>
      <w:r w:rsidR="008F0450">
        <w:rPr>
          <w:rFonts w:cs="Arial"/>
          <w:lang w:val="es-MX"/>
        </w:rPr>
        <w:t>l Monedero</w:t>
      </w:r>
      <w:r w:rsidR="008F0450" w:rsidRPr="005B63D7">
        <w:rPr>
          <w:rFonts w:cs="Arial"/>
          <w:lang w:val="es-MX"/>
        </w:rPr>
        <w:t xml:space="preserve"> </w:t>
      </w:r>
      <w:r w:rsidRPr="005B63D7">
        <w:rPr>
          <w:rFonts w:cs="Arial"/>
          <w:lang w:val="es-MX"/>
        </w:rPr>
        <w:t>deberá entregar al participante la constancia de habilidades DC3, la cual respalda que ha terminado la capacitación, la gestión deberá realizarse en el sistema SIRCE.</w:t>
      </w:r>
    </w:p>
    <w:p w14:paraId="3823AFB4" w14:textId="5C3AEE31" w:rsidR="009727D5" w:rsidRDefault="009727D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Procedimiento</w:t>
      </w:r>
    </w:p>
    <w:tbl>
      <w:tblPr>
        <w:tblW w:w="10343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5953"/>
        <w:gridCol w:w="1276"/>
      </w:tblGrid>
      <w:tr w:rsidR="00A04DC3" w:rsidRPr="00C61C52" w14:paraId="64C98D7E" w14:textId="0DF21AB8" w:rsidTr="00E07E65">
        <w:trPr>
          <w:trHeight w:val="356"/>
          <w:jc w:val="center"/>
        </w:trPr>
        <w:tc>
          <w:tcPr>
            <w:tcW w:w="1271" w:type="dxa"/>
            <w:vAlign w:val="center"/>
          </w:tcPr>
          <w:p w14:paraId="0A69C594" w14:textId="72A6F3C0" w:rsidR="00A04DC3" w:rsidRPr="00C61C52" w:rsidRDefault="00A04DC3" w:rsidP="00E07E65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C61C52">
              <w:rPr>
                <w:rFonts w:cs="Arial"/>
                <w:b/>
                <w:color w:val="000000"/>
                <w:lang w:val="es-MX"/>
              </w:rPr>
              <w:t>Secuencia</w:t>
            </w:r>
          </w:p>
        </w:tc>
        <w:tc>
          <w:tcPr>
            <w:tcW w:w="1843" w:type="dxa"/>
            <w:vAlign w:val="center"/>
          </w:tcPr>
          <w:p w14:paraId="16CD808E" w14:textId="3BA7473F" w:rsidR="00A04DC3" w:rsidRPr="00C61C52" w:rsidRDefault="00A04DC3" w:rsidP="00E07E65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C61C52">
              <w:rPr>
                <w:rFonts w:cs="Arial"/>
                <w:b/>
                <w:color w:val="000000"/>
                <w:lang w:val="es-MX"/>
              </w:rPr>
              <w:t>Responsables</w:t>
            </w:r>
          </w:p>
        </w:tc>
        <w:tc>
          <w:tcPr>
            <w:tcW w:w="5953" w:type="dxa"/>
          </w:tcPr>
          <w:p w14:paraId="584CAF6F" w14:textId="28386CD3" w:rsidR="00A04DC3" w:rsidRPr="00C61C52" w:rsidRDefault="00A04DC3" w:rsidP="009B673C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C61C52">
              <w:rPr>
                <w:rFonts w:cs="Arial"/>
                <w:b/>
                <w:color w:val="000000"/>
                <w:lang w:val="es-MX"/>
              </w:rPr>
              <w:t>Actividades</w:t>
            </w:r>
          </w:p>
        </w:tc>
        <w:tc>
          <w:tcPr>
            <w:tcW w:w="1276" w:type="dxa"/>
          </w:tcPr>
          <w:p w14:paraId="1BF7B8EC" w14:textId="4248FD78" w:rsidR="00A04DC3" w:rsidRPr="00C61C52" w:rsidRDefault="00A04DC3" w:rsidP="009B673C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C61C52">
              <w:rPr>
                <w:rFonts w:cs="Arial"/>
                <w:b/>
                <w:color w:val="000000"/>
                <w:lang w:val="es-MX"/>
              </w:rPr>
              <w:t>Cuándo</w:t>
            </w:r>
          </w:p>
        </w:tc>
      </w:tr>
      <w:tr w:rsidR="00CE7859" w:rsidRPr="00C61C52" w14:paraId="0FC634CC" w14:textId="47FC66D3" w:rsidTr="00E07E65">
        <w:trPr>
          <w:trHeight w:val="632"/>
          <w:jc w:val="center"/>
        </w:trPr>
        <w:tc>
          <w:tcPr>
            <w:tcW w:w="1271" w:type="dxa"/>
            <w:vAlign w:val="center"/>
          </w:tcPr>
          <w:p w14:paraId="234606AC" w14:textId="665F0F2D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color w:val="000000"/>
                <w:lang w:val="es-MX"/>
              </w:rPr>
              <w:t>1</w:t>
            </w:r>
          </w:p>
        </w:tc>
        <w:tc>
          <w:tcPr>
            <w:tcW w:w="1843" w:type="dxa"/>
            <w:vAlign w:val="center"/>
          </w:tcPr>
          <w:p w14:paraId="507ABD8A" w14:textId="5619C3C0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b/>
                <w:color w:val="000000"/>
                <w:lang w:val="es-MX"/>
              </w:rPr>
              <w:t xml:space="preserve">Administración </w:t>
            </w:r>
            <w:r w:rsidR="008F0450">
              <w:rPr>
                <w:b/>
                <w:color w:val="000000"/>
                <w:lang w:val="es-MX"/>
              </w:rPr>
              <w:t>del Monedero</w:t>
            </w:r>
          </w:p>
        </w:tc>
        <w:tc>
          <w:tcPr>
            <w:tcW w:w="5953" w:type="dxa"/>
            <w:vAlign w:val="center"/>
          </w:tcPr>
          <w:p w14:paraId="2C85668F" w14:textId="77777777" w:rsidR="00B93DA8" w:rsidRPr="00C61C52" w:rsidRDefault="00B93DA8" w:rsidP="00B93DA8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  <w:p w14:paraId="7BE94ED5" w14:textId="77777777" w:rsidR="00CE7859" w:rsidRPr="00C61C52" w:rsidRDefault="00CE7859" w:rsidP="00B93DA8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lang w:val="es-MX"/>
              </w:rPr>
              <w:t>Contrata al personal y lo envía a cursos de capacitación</w:t>
            </w:r>
            <w:r w:rsidR="00B93DA8" w:rsidRPr="00C61C52">
              <w:rPr>
                <w:rFonts w:cs="Arial"/>
                <w:lang w:val="es-MX"/>
              </w:rPr>
              <w:t>.</w:t>
            </w:r>
          </w:p>
          <w:p w14:paraId="7891DEB3" w14:textId="2E8C0F86" w:rsidR="00B93DA8" w:rsidRPr="00C61C52" w:rsidRDefault="00B93DA8" w:rsidP="00B93DA8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39018299" w14:textId="341E246F" w:rsidR="00CE7859" w:rsidRPr="00C61C52" w:rsidRDefault="00CE7859" w:rsidP="00CE7859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bCs/>
                <w:color w:val="000000"/>
                <w:lang w:val="es-MX"/>
              </w:rPr>
              <w:t>Por evento</w:t>
            </w:r>
          </w:p>
        </w:tc>
      </w:tr>
      <w:tr w:rsidR="00CE7859" w:rsidRPr="00C61C52" w14:paraId="111F9F4A" w14:textId="77777777" w:rsidTr="00E07E65">
        <w:trPr>
          <w:trHeight w:val="356"/>
          <w:jc w:val="center"/>
        </w:trPr>
        <w:tc>
          <w:tcPr>
            <w:tcW w:w="1271" w:type="dxa"/>
            <w:vAlign w:val="center"/>
          </w:tcPr>
          <w:p w14:paraId="51C5B093" w14:textId="67D62DF4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color w:val="000000"/>
                <w:lang w:val="es-MX"/>
              </w:rPr>
              <w:t>2</w:t>
            </w:r>
          </w:p>
        </w:tc>
        <w:tc>
          <w:tcPr>
            <w:tcW w:w="1843" w:type="dxa"/>
            <w:vAlign w:val="center"/>
          </w:tcPr>
          <w:p w14:paraId="2813D702" w14:textId="0368865A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b/>
                <w:color w:val="000000"/>
                <w:lang w:val="es-MX"/>
              </w:rPr>
              <w:t>Instructor/ Capacitación</w:t>
            </w:r>
          </w:p>
        </w:tc>
        <w:tc>
          <w:tcPr>
            <w:tcW w:w="5953" w:type="dxa"/>
            <w:vAlign w:val="center"/>
          </w:tcPr>
          <w:p w14:paraId="794AE72F" w14:textId="77777777" w:rsidR="00B93DA8" w:rsidRPr="00C61C52" w:rsidRDefault="00B93DA8" w:rsidP="00B93DA8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  <w:p w14:paraId="08E80A8A" w14:textId="77777777" w:rsidR="00CE7859" w:rsidRPr="00C61C52" w:rsidRDefault="00CE7859" w:rsidP="00B93DA8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lang w:val="es-MX"/>
              </w:rPr>
              <w:t>Presentación e inicio del programa de inducción al personal de nuevo ingreso.</w:t>
            </w:r>
          </w:p>
          <w:p w14:paraId="1C2C25C5" w14:textId="6B92C98C" w:rsidR="00B93DA8" w:rsidRPr="00C61C52" w:rsidRDefault="00B93DA8" w:rsidP="00B93DA8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64B1B953" w14:textId="28AA902D" w:rsidR="00CE7859" w:rsidRPr="00C61C52" w:rsidRDefault="00CE7859" w:rsidP="00CE7859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bCs/>
                <w:color w:val="000000"/>
                <w:lang w:val="es-MX"/>
              </w:rPr>
              <w:t>Por evento</w:t>
            </w:r>
          </w:p>
        </w:tc>
      </w:tr>
      <w:tr w:rsidR="00CE7859" w:rsidRPr="00C61C52" w14:paraId="4330FF09" w14:textId="77777777" w:rsidTr="00E07E65">
        <w:trPr>
          <w:trHeight w:val="611"/>
          <w:jc w:val="center"/>
        </w:trPr>
        <w:tc>
          <w:tcPr>
            <w:tcW w:w="1271" w:type="dxa"/>
            <w:vAlign w:val="center"/>
          </w:tcPr>
          <w:p w14:paraId="4347BD7D" w14:textId="1EADC61B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color w:val="000000"/>
                <w:lang w:val="es-MX"/>
              </w:rPr>
              <w:t>3</w:t>
            </w:r>
          </w:p>
        </w:tc>
        <w:tc>
          <w:tcPr>
            <w:tcW w:w="1843" w:type="dxa"/>
            <w:vAlign w:val="center"/>
          </w:tcPr>
          <w:p w14:paraId="323D48AA" w14:textId="3269D1DC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b/>
                <w:color w:val="000000"/>
                <w:lang w:val="es-MX"/>
              </w:rPr>
              <w:t>Instructor/ Capacitación</w:t>
            </w:r>
          </w:p>
        </w:tc>
        <w:tc>
          <w:tcPr>
            <w:tcW w:w="5953" w:type="dxa"/>
            <w:vAlign w:val="center"/>
          </w:tcPr>
          <w:p w14:paraId="1A271040" w14:textId="77777777" w:rsidR="00B93DA8" w:rsidRPr="00C61C52" w:rsidRDefault="00B93DA8" w:rsidP="00B93DA8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  <w:p w14:paraId="60FBFD72" w14:textId="77777777" w:rsidR="00CE7859" w:rsidRPr="00C61C52" w:rsidRDefault="00CE7859" w:rsidP="00B93DA8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lang w:val="es-MX"/>
              </w:rPr>
              <w:t>Recibe al personal de nuevo ingreso e imparte la capacitación.</w:t>
            </w:r>
          </w:p>
          <w:p w14:paraId="74197CF1" w14:textId="5697D72F" w:rsidR="00B93DA8" w:rsidRPr="00C61C52" w:rsidRDefault="00B93DA8" w:rsidP="00B93DA8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10DB2BEE" w14:textId="69400724" w:rsidR="00CE7859" w:rsidRPr="00C61C52" w:rsidRDefault="00CE7859" w:rsidP="00CE7859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bCs/>
                <w:color w:val="000000"/>
                <w:lang w:val="es-MX"/>
              </w:rPr>
              <w:t>Por evento</w:t>
            </w:r>
          </w:p>
        </w:tc>
      </w:tr>
      <w:tr w:rsidR="00CE7859" w:rsidRPr="00C61C52" w14:paraId="24FC420A" w14:textId="77777777" w:rsidTr="00E07E65">
        <w:trPr>
          <w:trHeight w:val="592"/>
          <w:jc w:val="center"/>
        </w:trPr>
        <w:tc>
          <w:tcPr>
            <w:tcW w:w="1271" w:type="dxa"/>
            <w:vAlign w:val="center"/>
          </w:tcPr>
          <w:p w14:paraId="047E0005" w14:textId="0B95B2D5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color w:val="000000"/>
                <w:lang w:val="es-MX"/>
              </w:rPr>
              <w:t>4</w:t>
            </w:r>
          </w:p>
        </w:tc>
        <w:tc>
          <w:tcPr>
            <w:tcW w:w="1843" w:type="dxa"/>
            <w:vAlign w:val="center"/>
          </w:tcPr>
          <w:p w14:paraId="70D36CB2" w14:textId="585EE81D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b/>
                <w:color w:val="000000"/>
                <w:lang w:val="es-MX"/>
              </w:rPr>
              <w:t>Instructor/ Capacitación</w:t>
            </w:r>
          </w:p>
        </w:tc>
        <w:tc>
          <w:tcPr>
            <w:tcW w:w="5953" w:type="dxa"/>
            <w:vAlign w:val="center"/>
          </w:tcPr>
          <w:p w14:paraId="2201DC01" w14:textId="77777777" w:rsidR="0006379E" w:rsidRPr="00C61C52" w:rsidRDefault="0006379E" w:rsidP="0006379E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  <w:p w14:paraId="091CC3F6" w14:textId="77777777" w:rsidR="00CE7859" w:rsidRPr="00C61C52" w:rsidRDefault="00CE7859" w:rsidP="00B93DA8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lang w:val="es-MX"/>
              </w:rPr>
              <w:t>Evalúa al personal de nuevo ingreso y brinda una retroalimentación cuando sea necesario.</w:t>
            </w:r>
          </w:p>
          <w:p w14:paraId="79FDE14C" w14:textId="022A0B58" w:rsidR="0006379E" w:rsidRPr="00C61C52" w:rsidRDefault="0006379E" w:rsidP="0006379E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1BB90B89" w14:textId="09814754" w:rsidR="00CE7859" w:rsidRPr="00C61C52" w:rsidRDefault="00CE7859" w:rsidP="00CE7859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bCs/>
                <w:color w:val="000000"/>
                <w:lang w:val="es-MX"/>
              </w:rPr>
              <w:t>Por evento</w:t>
            </w:r>
          </w:p>
        </w:tc>
      </w:tr>
      <w:tr w:rsidR="00CE7859" w:rsidRPr="00C61C52" w14:paraId="1A6B249B" w14:textId="77777777" w:rsidTr="00E07E65">
        <w:trPr>
          <w:trHeight w:val="356"/>
          <w:jc w:val="center"/>
        </w:trPr>
        <w:tc>
          <w:tcPr>
            <w:tcW w:w="1271" w:type="dxa"/>
            <w:vAlign w:val="center"/>
          </w:tcPr>
          <w:p w14:paraId="1EDD8566" w14:textId="08FA51A0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color w:val="000000"/>
                <w:lang w:val="es-MX"/>
              </w:rPr>
              <w:t>5</w:t>
            </w:r>
          </w:p>
        </w:tc>
        <w:tc>
          <w:tcPr>
            <w:tcW w:w="1843" w:type="dxa"/>
            <w:vAlign w:val="center"/>
          </w:tcPr>
          <w:p w14:paraId="33536728" w14:textId="3F9A06E8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b/>
                <w:color w:val="000000"/>
                <w:lang w:val="es-MX"/>
              </w:rPr>
              <w:t>Instructor/ Capacitación</w:t>
            </w:r>
          </w:p>
        </w:tc>
        <w:tc>
          <w:tcPr>
            <w:tcW w:w="5953" w:type="dxa"/>
            <w:vAlign w:val="center"/>
          </w:tcPr>
          <w:p w14:paraId="42C95A35" w14:textId="77777777" w:rsidR="0006379E" w:rsidRPr="00C61C52" w:rsidRDefault="0006379E" w:rsidP="0006379E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  <w:p w14:paraId="3F00B875" w14:textId="62D71E6A" w:rsidR="00CE7859" w:rsidRPr="00C61C52" w:rsidRDefault="00CE7859" w:rsidP="00B93DA8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lang w:val="es-MX"/>
              </w:rPr>
              <w:t xml:space="preserve">Se envía la evaluación a la Administración </w:t>
            </w:r>
            <w:r w:rsidR="00375384">
              <w:rPr>
                <w:rFonts w:cs="Arial"/>
                <w:lang w:val="es-MX"/>
              </w:rPr>
              <w:t>del Monedero</w:t>
            </w:r>
            <w:r w:rsidRPr="00C61C52">
              <w:rPr>
                <w:rFonts w:cs="Arial"/>
                <w:lang w:val="es-MX"/>
              </w:rPr>
              <w:t>.</w:t>
            </w:r>
          </w:p>
          <w:p w14:paraId="21A93FDA" w14:textId="57B12AF2" w:rsidR="0006379E" w:rsidRPr="00C61C52" w:rsidRDefault="0006379E" w:rsidP="0006379E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75034B42" w14:textId="2B1ACADC" w:rsidR="00CE7859" w:rsidRPr="00C61C52" w:rsidRDefault="00CE7859" w:rsidP="00CE7859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bCs/>
                <w:color w:val="000000"/>
                <w:lang w:val="es-MX"/>
              </w:rPr>
              <w:t>Por evento</w:t>
            </w:r>
          </w:p>
        </w:tc>
      </w:tr>
      <w:tr w:rsidR="00CE7859" w:rsidRPr="00C61C52" w14:paraId="22053501" w14:textId="77777777" w:rsidTr="00E07E65">
        <w:trPr>
          <w:trHeight w:val="1264"/>
          <w:jc w:val="center"/>
        </w:trPr>
        <w:tc>
          <w:tcPr>
            <w:tcW w:w="1271" w:type="dxa"/>
            <w:vAlign w:val="center"/>
          </w:tcPr>
          <w:p w14:paraId="2BCF2AA2" w14:textId="061A1C1A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color w:val="000000"/>
                <w:lang w:val="es-MX"/>
              </w:rPr>
              <w:t>6</w:t>
            </w:r>
          </w:p>
        </w:tc>
        <w:tc>
          <w:tcPr>
            <w:tcW w:w="1843" w:type="dxa"/>
            <w:vAlign w:val="center"/>
          </w:tcPr>
          <w:p w14:paraId="45A340AC" w14:textId="3DE52E71" w:rsidR="00CE7859" w:rsidRPr="00C61C52" w:rsidRDefault="00CE7859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b/>
                <w:color w:val="000000"/>
                <w:lang w:val="es-MX"/>
              </w:rPr>
              <w:t>Instructor/ Capacitación</w:t>
            </w:r>
          </w:p>
        </w:tc>
        <w:tc>
          <w:tcPr>
            <w:tcW w:w="5953" w:type="dxa"/>
            <w:vAlign w:val="center"/>
          </w:tcPr>
          <w:p w14:paraId="5829A11C" w14:textId="77777777" w:rsidR="0006379E" w:rsidRPr="00C61C52" w:rsidRDefault="0006379E" w:rsidP="0006379E">
            <w:pPr>
              <w:pStyle w:val="Encabezado"/>
              <w:tabs>
                <w:tab w:val="clear" w:pos="4320"/>
                <w:tab w:val="clear" w:pos="8640"/>
                <w:tab w:val="left" w:pos="360"/>
              </w:tabs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cs="Arial"/>
                <w:sz w:val="8"/>
                <w:szCs w:val="8"/>
                <w:lang w:val="es-MX"/>
              </w:rPr>
            </w:pPr>
          </w:p>
          <w:p w14:paraId="1C337AB2" w14:textId="4608BC39" w:rsidR="00CE7859" w:rsidRPr="00C61C52" w:rsidRDefault="00CE7859" w:rsidP="00B93DA8">
            <w:pPr>
              <w:pStyle w:val="Encabezado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lang w:val="es-MX"/>
              </w:rPr>
            </w:pPr>
            <w:r w:rsidRPr="00C61C52">
              <w:rPr>
                <w:rFonts w:cs="Arial"/>
                <w:lang w:val="es-MX"/>
              </w:rPr>
              <w:t>Se analiza y se toma la decisión para saber si aprobó el programa de inducción.</w:t>
            </w:r>
          </w:p>
          <w:p w14:paraId="6EE8D5C6" w14:textId="6BB37DA0" w:rsidR="00CE7859" w:rsidRPr="00C61C52" w:rsidRDefault="00CE7859" w:rsidP="00B93DA8">
            <w:pPr>
              <w:pStyle w:val="Prrafodelista"/>
              <w:numPr>
                <w:ilvl w:val="0"/>
                <w:numId w:val="14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lang w:val="es-MX"/>
              </w:rPr>
              <w:t xml:space="preserve">Si no aprueba el programa de inducción el Instructor responsable notifica a la Administración </w:t>
            </w:r>
            <w:r w:rsidR="00375384">
              <w:rPr>
                <w:rFonts w:cs="Arial"/>
                <w:lang w:val="es-MX"/>
              </w:rPr>
              <w:t>del Monedero</w:t>
            </w:r>
            <w:r w:rsidR="00375384" w:rsidRPr="00C61C52">
              <w:rPr>
                <w:rFonts w:cs="Arial"/>
                <w:lang w:val="es-MX"/>
              </w:rPr>
              <w:t xml:space="preserve"> </w:t>
            </w:r>
            <w:r w:rsidRPr="00C61C52">
              <w:rPr>
                <w:rFonts w:cs="Arial"/>
                <w:lang w:val="es-MX"/>
              </w:rPr>
              <w:t>para dar de baja al colaborador.</w:t>
            </w:r>
          </w:p>
          <w:p w14:paraId="22F4ECB0" w14:textId="7DF6C9BD" w:rsidR="0006379E" w:rsidRPr="00C61C52" w:rsidRDefault="0006379E" w:rsidP="0006379E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2928EC7D" w14:textId="7FA65802" w:rsidR="00CE7859" w:rsidRPr="00C61C52" w:rsidRDefault="00CE7859" w:rsidP="00CE7859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bCs/>
                <w:color w:val="000000"/>
                <w:lang w:val="es-MX"/>
              </w:rPr>
              <w:t>Por evento</w:t>
            </w:r>
          </w:p>
        </w:tc>
      </w:tr>
      <w:tr w:rsidR="008F0450" w:rsidRPr="00C61C52" w14:paraId="2A0CFE45" w14:textId="77777777" w:rsidTr="008F0450">
        <w:trPr>
          <w:trHeight w:val="356"/>
          <w:jc w:val="center"/>
        </w:trPr>
        <w:tc>
          <w:tcPr>
            <w:tcW w:w="1271" w:type="dxa"/>
            <w:vAlign w:val="center"/>
          </w:tcPr>
          <w:p w14:paraId="51898DEB" w14:textId="32B4D508" w:rsidR="008F0450" w:rsidRPr="00C61C52" w:rsidRDefault="008F0450" w:rsidP="008F045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color w:val="000000"/>
                <w:lang w:val="es-MX"/>
              </w:rPr>
              <w:t>7</w:t>
            </w:r>
          </w:p>
        </w:tc>
        <w:tc>
          <w:tcPr>
            <w:tcW w:w="1843" w:type="dxa"/>
            <w:vAlign w:val="center"/>
          </w:tcPr>
          <w:p w14:paraId="25164FFB" w14:textId="0A32E74A" w:rsidR="008F0450" w:rsidRPr="00C61C52" w:rsidRDefault="008F0450" w:rsidP="008F045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693DC0">
              <w:rPr>
                <w:b/>
                <w:color w:val="000000"/>
                <w:lang w:val="es-MX"/>
              </w:rPr>
              <w:t>Administración del Monedero</w:t>
            </w:r>
          </w:p>
        </w:tc>
        <w:tc>
          <w:tcPr>
            <w:tcW w:w="5953" w:type="dxa"/>
            <w:vAlign w:val="center"/>
          </w:tcPr>
          <w:p w14:paraId="60AED04B" w14:textId="77777777" w:rsidR="008F0450" w:rsidRPr="00C61C52" w:rsidRDefault="008F0450" w:rsidP="008F0450">
            <w:pPr>
              <w:pStyle w:val="Prrafodelista"/>
              <w:tabs>
                <w:tab w:val="left" w:pos="360"/>
              </w:tabs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  <w:p w14:paraId="30C1CBF6" w14:textId="77777777" w:rsidR="008F0450" w:rsidRPr="00C61C52" w:rsidRDefault="008F0450" w:rsidP="008F0450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lang w:val="es-MX"/>
              </w:rPr>
              <w:t>Se aplica la baja del colaborador.</w:t>
            </w:r>
          </w:p>
          <w:p w14:paraId="64072154" w14:textId="374B5955" w:rsidR="008F0450" w:rsidRPr="00C61C52" w:rsidRDefault="008F0450" w:rsidP="008F0450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009688DC" w14:textId="051A8516" w:rsidR="008F0450" w:rsidRPr="00C61C52" w:rsidRDefault="008F0450" w:rsidP="008F045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bCs/>
                <w:color w:val="000000"/>
                <w:lang w:val="es-MX"/>
              </w:rPr>
              <w:t>Por evento</w:t>
            </w:r>
          </w:p>
        </w:tc>
      </w:tr>
      <w:tr w:rsidR="008F0450" w:rsidRPr="00C61C52" w14:paraId="6CCE7521" w14:textId="77777777" w:rsidTr="008F0450">
        <w:trPr>
          <w:trHeight w:val="356"/>
          <w:jc w:val="center"/>
        </w:trPr>
        <w:tc>
          <w:tcPr>
            <w:tcW w:w="1271" w:type="dxa"/>
            <w:vAlign w:val="center"/>
          </w:tcPr>
          <w:p w14:paraId="26CA4F20" w14:textId="5E5D679A" w:rsidR="008F0450" w:rsidRPr="00C61C52" w:rsidRDefault="008F0450" w:rsidP="008F045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color w:val="000000"/>
                <w:lang w:val="es-MX"/>
              </w:rPr>
              <w:t>8</w:t>
            </w:r>
          </w:p>
        </w:tc>
        <w:tc>
          <w:tcPr>
            <w:tcW w:w="1843" w:type="dxa"/>
            <w:vAlign w:val="center"/>
          </w:tcPr>
          <w:p w14:paraId="3A4A3D91" w14:textId="6C20465D" w:rsidR="008F0450" w:rsidRPr="00C61C52" w:rsidRDefault="008F0450" w:rsidP="008F045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693DC0">
              <w:rPr>
                <w:b/>
                <w:color w:val="000000"/>
                <w:lang w:val="es-MX"/>
              </w:rPr>
              <w:t>Administración del Monedero</w:t>
            </w:r>
          </w:p>
        </w:tc>
        <w:tc>
          <w:tcPr>
            <w:tcW w:w="5953" w:type="dxa"/>
            <w:vAlign w:val="center"/>
          </w:tcPr>
          <w:p w14:paraId="22B1C01A" w14:textId="77777777" w:rsidR="008F0450" w:rsidRPr="00C61C52" w:rsidRDefault="008F0450" w:rsidP="008F0450">
            <w:pPr>
              <w:pStyle w:val="Prrafodelista"/>
              <w:tabs>
                <w:tab w:val="left" w:pos="360"/>
              </w:tabs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  <w:p w14:paraId="1B9EE21D" w14:textId="77777777" w:rsidR="008F0450" w:rsidRPr="00C61C52" w:rsidRDefault="008F0450" w:rsidP="008F0450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lang w:val="es-MX"/>
              </w:rPr>
              <w:t>Si aprueba el programa de inducción se gestiona el cambio de centro de costo y envía un correo de notificación de nuevo ingreso.</w:t>
            </w:r>
          </w:p>
          <w:p w14:paraId="4D28AD54" w14:textId="5930080D" w:rsidR="008F0450" w:rsidRPr="00C61C52" w:rsidRDefault="008F0450" w:rsidP="008F0450">
            <w:pPr>
              <w:pStyle w:val="Prrafodelista"/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2C8E5E90" w14:textId="5176C769" w:rsidR="008F0450" w:rsidRPr="00C61C52" w:rsidRDefault="008F0450" w:rsidP="008F045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C61C52">
              <w:rPr>
                <w:rFonts w:cs="Arial"/>
                <w:bCs/>
                <w:color w:val="000000"/>
                <w:lang w:val="es-MX"/>
              </w:rPr>
              <w:t>Por evento</w:t>
            </w:r>
          </w:p>
        </w:tc>
      </w:tr>
    </w:tbl>
    <w:p w14:paraId="6A107FB9" w14:textId="0B2C28B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0644219A" w14:textId="77777777" w:rsidR="0006379E" w:rsidRDefault="0006379E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E77AB8" w:rsidRPr="00E77AB8" w14:paraId="20A172E1" w14:textId="77777777" w:rsidTr="00E07E65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00F6955D" w:rsidR="00E77AB8" w:rsidRPr="00E07E65" w:rsidRDefault="008F0450" w:rsidP="00E07E65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rFonts w:cs="Arial"/>
                <w:bCs/>
                <w:lang w:val="es-MX"/>
              </w:rPr>
              <w:t>SF</w:t>
            </w:r>
            <w:r w:rsidR="00E07E65" w:rsidRPr="00E07E65">
              <w:rPr>
                <w:rFonts w:cs="Arial"/>
                <w:bCs/>
                <w:lang w:val="es-MX"/>
              </w:rPr>
              <w:t>-F-15</w:t>
            </w:r>
          </w:p>
        </w:tc>
        <w:tc>
          <w:tcPr>
            <w:tcW w:w="3150" w:type="dxa"/>
            <w:vAlign w:val="center"/>
          </w:tcPr>
          <w:p w14:paraId="5CB63603" w14:textId="7BDA4B22" w:rsidR="00E77AB8" w:rsidRPr="007379E6" w:rsidRDefault="00E77AB8" w:rsidP="00E07E65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Programa de inducción a la Organización</w:t>
            </w:r>
          </w:p>
        </w:tc>
        <w:tc>
          <w:tcPr>
            <w:tcW w:w="1485" w:type="dxa"/>
            <w:vAlign w:val="center"/>
          </w:tcPr>
          <w:p w14:paraId="5542F112" w14:textId="7AF8DC28" w:rsidR="00E77AB8" w:rsidRPr="007379E6" w:rsidRDefault="00E77AB8" w:rsidP="00E07E6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2 años</w:t>
            </w:r>
          </w:p>
        </w:tc>
        <w:tc>
          <w:tcPr>
            <w:tcW w:w="2175" w:type="dxa"/>
            <w:vAlign w:val="center"/>
          </w:tcPr>
          <w:p w14:paraId="04273388" w14:textId="588B9168" w:rsidR="00E77AB8" w:rsidRPr="007379E6" w:rsidRDefault="008F0450" w:rsidP="00E07E65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8F0450">
              <w:rPr>
                <w:rFonts w:cs="Arial"/>
                <w:color w:val="000000"/>
                <w:lang w:val="es-MX"/>
              </w:rPr>
              <w:t>Administración del Monedero</w:t>
            </w:r>
          </w:p>
        </w:tc>
        <w:tc>
          <w:tcPr>
            <w:tcW w:w="1876" w:type="dxa"/>
            <w:vAlign w:val="center"/>
          </w:tcPr>
          <w:p w14:paraId="6EF0A2C6" w14:textId="3A4536DB" w:rsidR="00E77AB8" w:rsidRPr="007379E6" w:rsidRDefault="00E77AB8" w:rsidP="008F045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Electrónica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26E10380" w14:textId="575A0EB4" w:rsidR="008B38B7" w:rsidRPr="008B38B7" w:rsidRDefault="008B38B7" w:rsidP="008B38B7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8B38B7">
        <w:rPr>
          <w:rFonts w:cs="Arial"/>
          <w:b/>
          <w:bCs/>
          <w:sz w:val="22"/>
          <w:szCs w:val="22"/>
          <w:lang w:val="es-MX"/>
        </w:rPr>
        <w:t>Glosario</w:t>
      </w:r>
    </w:p>
    <w:p w14:paraId="486332C4" w14:textId="4EF59F1B" w:rsidR="008B38B7" w:rsidRDefault="008B38B7" w:rsidP="008B38B7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p w14:paraId="4CF5AF08" w14:textId="77777777" w:rsidR="008B38B7" w:rsidRDefault="008B38B7" w:rsidP="008B38B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lang w:val="es-MX"/>
        </w:rPr>
      </w:pPr>
    </w:p>
    <w:p w14:paraId="677CBBFF" w14:textId="332F9660" w:rsidR="008B38B7" w:rsidRPr="008B38B7" w:rsidRDefault="008B38B7" w:rsidP="008B38B7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8B38B7">
        <w:rPr>
          <w:rFonts w:cs="Arial"/>
          <w:b/>
          <w:bCs/>
          <w:sz w:val="22"/>
          <w:szCs w:val="22"/>
          <w:lang w:val="es-MX"/>
        </w:rPr>
        <w:t>Anexos</w:t>
      </w:r>
    </w:p>
    <w:p w14:paraId="3943E4D8" w14:textId="7AE67DDF" w:rsidR="008B38B7" w:rsidRPr="00E8237D" w:rsidRDefault="008B38B7" w:rsidP="008B38B7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8B38B7" w:rsidRPr="00E8237D" w:rsidSect="00872F0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78DBA" w14:textId="77777777" w:rsidR="005A72C8" w:rsidRDefault="005A72C8">
      <w:r>
        <w:separator/>
      </w:r>
    </w:p>
  </w:endnote>
  <w:endnote w:type="continuationSeparator" w:id="0">
    <w:p w14:paraId="34615BE2" w14:textId="77777777" w:rsidR="005A72C8" w:rsidRDefault="005A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6DB6C017" w:rsidR="001E29EA" w:rsidRPr="001E32A6" w:rsidRDefault="008F0450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1B08DD8F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375384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375384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8F0450" w14:paraId="075D73BF" w14:textId="77777777" w:rsidTr="001E32A6">
      <w:tc>
        <w:tcPr>
          <w:tcW w:w="10926" w:type="dxa"/>
        </w:tcPr>
        <w:p w14:paraId="6E2B1F52" w14:textId="51AA498F" w:rsidR="001E29EA" w:rsidRPr="001E32A6" w:rsidRDefault="008F0450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2B8D664D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375384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375384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0606E" w14:textId="77777777" w:rsidR="005A72C8" w:rsidRDefault="005A72C8">
      <w:r>
        <w:separator/>
      </w:r>
    </w:p>
  </w:footnote>
  <w:footnote w:type="continuationSeparator" w:id="0">
    <w:p w14:paraId="17DE6164" w14:textId="77777777" w:rsidR="005A72C8" w:rsidRDefault="005A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6B4E0A84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8F0450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023E02B4" w14:textId="77777777" w:rsidR="008F0450" w:rsidRPr="006B28E8" w:rsidRDefault="008F0450" w:rsidP="008F0450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1FFA569C" w:rsidR="0086459B" w:rsidRPr="0086459B" w:rsidRDefault="008F0450" w:rsidP="008F0450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</w:t>
          </w:r>
          <w:r w:rsidR="0086459B" w:rsidRPr="004F471C">
            <w:rPr>
              <w:b/>
              <w:lang w:val="es-MX"/>
            </w:rPr>
            <w:t>.</w:t>
          </w:r>
        </w:p>
      </w:tc>
    </w:tr>
  </w:tbl>
  <w:p w14:paraId="4F456931" w14:textId="2BF66C68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601D9E48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8F0450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31A01BFC" w:rsidR="00F855EF" w:rsidRPr="00CA7845" w:rsidRDefault="008F0450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E07E65" w:rsidRPr="00E07E65">
            <w:rPr>
              <w:color w:val="000000" w:themeColor="text1"/>
              <w:lang w:val="es-MX"/>
            </w:rPr>
            <w:t>-P-05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7307F1F3" w:rsidR="00F855EF" w:rsidRPr="00CA7845" w:rsidRDefault="00E07E65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50388EF4" w:rsidR="00F855EF" w:rsidRPr="00CA7845" w:rsidRDefault="00C61C52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2D7614BF" w14:textId="77777777" w:rsidR="008F0450" w:rsidRPr="00CA7845" w:rsidRDefault="008F0450" w:rsidP="008F0450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26069CEF" w:rsidR="00F855EF" w:rsidRPr="00CA7845" w:rsidRDefault="008F0450" w:rsidP="008F0450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8F0450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0F31B58C" w:rsidR="00F855EF" w:rsidRPr="00CA7845" w:rsidRDefault="00E07E65" w:rsidP="00872C12">
          <w:pPr>
            <w:jc w:val="center"/>
            <w:rPr>
              <w:color w:val="000000" w:themeColor="text1"/>
              <w:lang w:val="es-MX"/>
            </w:rPr>
          </w:pPr>
          <w:r w:rsidRPr="00E07E65">
            <w:rPr>
              <w:color w:val="000000" w:themeColor="text1"/>
              <w:lang w:val="es-MX"/>
            </w:rPr>
            <w:t>Administración del programa de inducción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636BB520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E07E65">
      <w:rPr>
        <w:b/>
        <w:color w:val="000000" w:themeColor="text1"/>
        <w:lang w:val="es-MX"/>
      </w:rPr>
      <w:t>12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764A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2877"/>
    <w:multiLevelType w:val="hybridMultilevel"/>
    <w:tmpl w:val="1336689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2D7E4D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6B1969"/>
    <w:multiLevelType w:val="hybridMultilevel"/>
    <w:tmpl w:val="696251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47FE"/>
    <w:multiLevelType w:val="hybridMultilevel"/>
    <w:tmpl w:val="40A69FB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379E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74A58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2953"/>
    <w:rsid w:val="0025730C"/>
    <w:rsid w:val="00257B47"/>
    <w:rsid w:val="002638EA"/>
    <w:rsid w:val="00270562"/>
    <w:rsid w:val="002728CA"/>
    <w:rsid w:val="00276D35"/>
    <w:rsid w:val="0027762A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4AB1"/>
    <w:rsid w:val="0037538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DC7"/>
    <w:rsid w:val="00457E4B"/>
    <w:rsid w:val="00461A35"/>
    <w:rsid w:val="00467F91"/>
    <w:rsid w:val="004717A7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225A"/>
    <w:rsid w:val="00544A97"/>
    <w:rsid w:val="0057148E"/>
    <w:rsid w:val="00575495"/>
    <w:rsid w:val="00576301"/>
    <w:rsid w:val="0058488B"/>
    <w:rsid w:val="00587DD0"/>
    <w:rsid w:val="0059285C"/>
    <w:rsid w:val="00595320"/>
    <w:rsid w:val="005A72C8"/>
    <w:rsid w:val="005B63D7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5426F"/>
    <w:rsid w:val="006619C4"/>
    <w:rsid w:val="0066390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2652"/>
    <w:rsid w:val="007854C1"/>
    <w:rsid w:val="00790D9D"/>
    <w:rsid w:val="00791E18"/>
    <w:rsid w:val="00794B98"/>
    <w:rsid w:val="007A4DCF"/>
    <w:rsid w:val="007A6F3E"/>
    <w:rsid w:val="007C2048"/>
    <w:rsid w:val="007C47B5"/>
    <w:rsid w:val="007D6532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43AC0"/>
    <w:rsid w:val="0086459B"/>
    <w:rsid w:val="00866607"/>
    <w:rsid w:val="00870518"/>
    <w:rsid w:val="00871BAA"/>
    <w:rsid w:val="008726ED"/>
    <w:rsid w:val="00872C12"/>
    <w:rsid w:val="00872F08"/>
    <w:rsid w:val="008742CA"/>
    <w:rsid w:val="00877D2C"/>
    <w:rsid w:val="00883B87"/>
    <w:rsid w:val="0088473B"/>
    <w:rsid w:val="0088643B"/>
    <w:rsid w:val="008B38B7"/>
    <w:rsid w:val="008B7B08"/>
    <w:rsid w:val="008C14D0"/>
    <w:rsid w:val="008C4B3C"/>
    <w:rsid w:val="008D1BFD"/>
    <w:rsid w:val="008D527B"/>
    <w:rsid w:val="008E3DBF"/>
    <w:rsid w:val="008F0450"/>
    <w:rsid w:val="00917D38"/>
    <w:rsid w:val="00921C73"/>
    <w:rsid w:val="009346B0"/>
    <w:rsid w:val="009376F0"/>
    <w:rsid w:val="00944F55"/>
    <w:rsid w:val="009601BB"/>
    <w:rsid w:val="00964163"/>
    <w:rsid w:val="00967599"/>
    <w:rsid w:val="00967BC0"/>
    <w:rsid w:val="009727D5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04DC3"/>
    <w:rsid w:val="00A106F0"/>
    <w:rsid w:val="00A26CA4"/>
    <w:rsid w:val="00A37248"/>
    <w:rsid w:val="00A535B7"/>
    <w:rsid w:val="00A53CEE"/>
    <w:rsid w:val="00A7339B"/>
    <w:rsid w:val="00A824FE"/>
    <w:rsid w:val="00A837E5"/>
    <w:rsid w:val="00A83CA1"/>
    <w:rsid w:val="00A85305"/>
    <w:rsid w:val="00A8694F"/>
    <w:rsid w:val="00A91687"/>
    <w:rsid w:val="00A92A39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2304D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93DA8"/>
    <w:rsid w:val="00BA08A4"/>
    <w:rsid w:val="00BA2905"/>
    <w:rsid w:val="00BB4C90"/>
    <w:rsid w:val="00BB7846"/>
    <w:rsid w:val="00BC1C37"/>
    <w:rsid w:val="00BC68DA"/>
    <w:rsid w:val="00BD6CAD"/>
    <w:rsid w:val="00BD6D43"/>
    <w:rsid w:val="00BD755A"/>
    <w:rsid w:val="00BD7A76"/>
    <w:rsid w:val="00BE0DC9"/>
    <w:rsid w:val="00BE1BAE"/>
    <w:rsid w:val="00BE7A01"/>
    <w:rsid w:val="00BF0D1B"/>
    <w:rsid w:val="00BF330D"/>
    <w:rsid w:val="00C02C40"/>
    <w:rsid w:val="00C07B96"/>
    <w:rsid w:val="00C108C6"/>
    <w:rsid w:val="00C15ACA"/>
    <w:rsid w:val="00C27F9A"/>
    <w:rsid w:val="00C3554C"/>
    <w:rsid w:val="00C50568"/>
    <w:rsid w:val="00C57311"/>
    <w:rsid w:val="00C61C52"/>
    <w:rsid w:val="00C7394E"/>
    <w:rsid w:val="00C77FED"/>
    <w:rsid w:val="00C92727"/>
    <w:rsid w:val="00CA5913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E7859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67052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07E65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77AB8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169C8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1F77"/>
    <w:rsid w:val="00F855EF"/>
    <w:rsid w:val="00F8751B"/>
    <w:rsid w:val="00F90EE8"/>
    <w:rsid w:val="00F92BF2"/>
    <w:rsid w:val="00FA7C4B"/>
    <w:rsid w:val="00FB1053"/>
    <w:rsid w:val="00FB249F"/>
    <w:rsid w:val="00FC17C9"/>
    <w:rsid w:val="00FD46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qFormat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5752</Characters>
  <Application>Microsoft Office Word</Application>
  <DocSecurity>0</DocSecurity>
  <PresentationFormat/>
  <Lines>47</Lines>
  <Paragraphs>13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2026-03-11T17:29:00Z</dcterms:created>
  <dcterms:modified xsi:type="dcterms:W3CDTF">2026-03-11T17:29:00Z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